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47A3">
      <w:pPr>
        <w:keepNext w:val="0"/>
        <w:keepLines w:val="0"/>
        <w:pageBreakBefore w:val="0"/>
        <w:widowControl/>
        <w:tabs>
          <w:tab w:val="left" w:pos="923"/>
          <w:tab w:val="left" w:pos="1809"/>
        </w:tabs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认定标准</w:t>
      </w:r>
    </w:p>
    <w:p w14:paraId="3C0A4A7E">
      <w:pPr>
        <w:keepNext w:val="0"/>
        <w:keepLines w:val="0"/>
        <w:pageBreakBefore w:val="0"/>
        <w:widowControl/>
        <w:tabs>
          <w:tab w:val="left" w:pos="923"/>
          <w:tab w:val="left" w:pos="18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照安徽省大学生学科和技能竞赛AB类项目列表、中国高等教育学会“全国普通高校大学生竞赛排行榜竞赛项目”和中国学位与研究生教育学会“中国研究生创新实践系列大赛”，结合各学院自主申报赛事，分类设定学校学科竞赛分类导向性项目库。</w:t>
      </w:r>
    </w:p>
    <w:tbl>
      <w:tblPr>
        <w:tblStyle w:val="3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8"/>
        <w:gridCol w:w="3705"/>
        <w:gridCol w:w="975"/>
        <w:gridCol w:w="2198"/>
      </w:tblGrid>
      <w:tr w14:paraId="7EEE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E09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  <w:t>认定类别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61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5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  <w:t>绩点</w:t>
            </w:r>
          </w:p>
          <w:p w14:paraId="631E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  <w:t>分值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9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  <w:t>奖励金额</w:t>
            </w:r>
          </w:p>
          <w:p w14:paraId="7083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0"/>
                <w:szCs w:val="30"/>
              </w:rPr>
              <w:t>（万元）</w:t>
            </w:r>
          </w:p>
        </w:tc>
      </w:tr>
      <w:tr w14:paraId="4CA1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B291E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A类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0AD03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A0</w:t>
            </w:r>
          </w:p>
        </w:tc>
        <w:tc>
          <w:tcPr>
            <w:tcW w:w="6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288644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校长提名赛事：提请校长办公会审议</w:t>
            </w:r>
          </w:p>
        </w:tc>
      </w:tr>
      <w:tr w14:paraId="1038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8640B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AC555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A1-1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F03B97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最高奖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F140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0362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15</w:t>
            </w:r>
          </w:p>
        </w:tc>
      </w:tr>
      <w:tr w14:paraId="175B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632C1C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7DCF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28F5E4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5D29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319E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</w:p>
        </w:tc>
      </w:tr>
      <w:tr w14:paraId="528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7130AE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2B15A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7E4E62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第二次高奖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3301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C859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2</w:t>
            </w:r>
          </w:p>
        </w:tc>
      </w:tr>
      <w:tr w14:paraId="68FD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1ECBE8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FF4B9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A1-2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C0EC92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最高奖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909EA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E34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15</w:t>
            </w:r>
          </w:p>
        </w:tc>
      </w:tr>
      <w:tr w14:paraId="7971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4E8DD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F64A8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0EC3AF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C887A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4480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10</w:t>
            </w:r>
          </w:p>
        </w:tc>
      </w:tr>
      <w:tr w14:paraId="1214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F960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8B57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2CA6F9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第二次高奖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AD04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CA75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</w:p>
        </w:tc>
      </w:tr>
      <w:tr w14:paraId="6F4F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098D63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6273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17B6F9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第三次高奖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712D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05AA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2</w:t>
            </w:r>
          </w:p>
        </w:tc>
      </w:tr>
      <w:tr w14:paraId="0A7B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DA74E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0FAC34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A2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B46976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最高奖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8F3CA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D2AE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3</w:t>
            </w:r>
          </w:p>
        </w:tc>
      </w:tr>
      <w:tr w14:paraId="4B45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054C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3A8CF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35FDB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15AD0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40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956DA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2977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55D6A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579F6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CF0BBF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第二次高奖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78228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20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3A4691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719D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5A10C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B类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4EB6D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B1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376BC8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最高奖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7E27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40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6334C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629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8FF08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F3588E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52E88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2EE9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20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7D377D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759F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5298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EDAA2E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1D4D6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第二次高奖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8F98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15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C51CF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5978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BC1A0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DAA068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B2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4E6C0E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最高奖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95C16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30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D465FA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7D22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B2D7C5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DA99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08DB46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E25B7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15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03FD6E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  <w:tr w14:paraId="5CC6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393AB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484FA9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8ED5D8">
            <w:pPr>
              <w:widowControl/>
              <w:adjustRightInd w:val="0"/>
              <w:snapToGrid w:val="0"/>
              <w:spacing w:beforeLines="0" w:afterLines="0" w:line="56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第二次高奖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E820F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C807C2">
            <w:pPr>
              <w:widowControl/>
              <w:adjustRightInd w:val="0"/>
              <w:snapToGrid w:val="0"/>
              <w:spacing w:beforeLines="0" w:afterLines="0" w:line="560" w:lineRule="exact"/>
              <w:jc w:val="center"/>
              <w:textAlignment w:val="center"/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</w:pPr>
            <w:r>
              <w:rPr>
                <w:rStyle w:val="5"/>
                <w:rFonts w:hint="eastAsia" w:ascii="仿宋_GB2312" w:eastAsia="仿宋_GB2312"/>
                <w:color w:val="auto"/>
                <w:sz w:val="28"/>
                <w:szCs w:val="28"/>
                <w:lang w:bidi="zh-CN"/>
              </w:rPr>
              <w:t>按分值比例计算</w:t>
            </w:r>
          </w:p>
        </w:tc>
      </w:tr>
    </w:tbl>
    <w:p w14:paraId="48ACC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注：</w:t>
      </w:r>
      <w:bookmarkStart w:id="0" w:name="OLE_LINK5"/>
      <w:r>
        <w:rPr>
          <w:rFonts w:hint="eastAsia" w:ascii="仿宋_GB2312" w:hAnsi="宋体" w:eastAsia="仿宋_GB2312" w:cs="宋体"/>
          <w:kern w:val="0"/>
          <w:sz w:val="32"/>
          <w:szCs w:val="32"/>
        </w:rPr>
        <w:t>1.竞赛绩效不区分个人奖项和团队奖项；以排名为竞赛结果的项目，竞赛最高奖对应第1名，次高奖对应第2-3名，第二次高奖对应其它名次；不设奖项等级的，按第二次高奖计算；除“挑战杯”全国大学生课外学术科技作品竞赛全国赛外，赛事最高奖为特等奖的，该赛事三等奖按第二次高奖的40%认定。</w:t>
      </w:r>
    </w:p>
    <w:p w14:paraId="31D35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1" w:name="OLE_LINK4"/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default"/>
          <w:sz w:val="21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获奖学生团队奖励标准参照指导教师奖励标准另行给予奖励，分配方案由指导教师和学生团队第一负责人共同决定。无指导教师的，由学生团队第一负责人决定。</w:t>
      </w:r>
    </w:p>
    <w:bookmarkEnd w:id="0"/>
    <w:bookmarkEnd w:id="1"/>
    <w:p w14:paraId="6DD30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center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</w:rPr>
        <w:t>.同一学生或团队的同一作品，参加同一赛事不同级别的，只就高奖励一次。</w:t>
      </w:r>
    </w:p>
    <w:p w14:paraId="03FBC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center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</w:rPr>
        <w:t>.A1-1包括中国国际大学生创新大赛、“挑战杯”创业计划大赛（不含专项赛），A1-2包括“挑战杯”全国大学生课外学术科技作品竞赛（不含专项赛）。其他类别赛事详见合肥大学学科竞赛分类导向性项目库。</w:t>
      </w:r>
    </w:p>
    <w:p w14:paraId="4DB64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AD5CF-3240-4662-BF42-2FCDE8E904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95B1F4-4E5F-453B-B3C6-94270EB356A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85EF097-9B99-44DE-AF64-E2710B261B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B258EC-2AA4-4170-9990-0D87FE8381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5ACC"/>
    <w:rsid w:val="4D9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font21"/>
    <w:unhideWhenUsed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681</Characters>
  <Lines>0</Lines>
  <Paragraphs>0</Paragraphs>
  <TotalTime>0</TotalTime>
  <ScaleCrop>false</ScaleCrop>
  <LinksUpToDate>false</LinksUpToDate>
  <CharactersWithSpaces>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2025-10-30T01:22:00Z</dcterms:created>
  <dc:creator>hfxy</dc:creator>
  <cp:lastModifiedBy>丁婧</cp:lastModifiedBy>
  <dcterms:modified xsi:type="dcterms:W3CDTF">2025-10-31T02:32:30Z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eyJoZGlkIjoiMjdlNWFjYjZkMzFkNTNhNGUxNTRmMGQ4MTU4NTYwYzYiLCJ1c2VySWQiOiI3MjgxNjM1MTkifQ==</vt:lpwstr>
  </property>
  <property fmtid="{D5CDD505-2E9C-101B-9397-08002B2CF9AE}" pid="4" name="ICV">
    <vt:lpwstr>CA55723429334BFC8E8FAA7893F9CEF9_12</vt:lpwstr>
  </property>
</Properties>
</file>